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4579E" w14:textId="77777777" w:rsidR="009860F9" w:rsidRDefault="009860F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1"/>
        <w:tblW w:w="8712" w:type="dxa"/>
        <w:tblInd w:w="144" w:type="dxa"/>
        <w:tblLayout w:type="fixed"/>
        <w:tblLook w:val="0000" w:firstRow="0" w:lastRow="0" w:firstColumn="0" w:lastColumn="0" w:noHBand="0" w:noVBand="0"/>
      </w:tblPr>
      <w:tblGrid>
        <w:gridCol w:w="8712"/>
      </w:tblGrid>
      <w:tr w:rsidR="009860F9" w14:paraId="53144865" w14:textId="77777777">
        <w:tc>
          <w:tcPr>
            <w:tcW w:w="8712" w:type="dxa"/>
            <w:tcBorders>
              <w:top w:val="single" w:sz="6" w:space="0" w:color="000000"/>
              <w:left w:val="single" w:sz="6" w:space="0" w:color="000000"/>
              <w:bottom w:val="single" w:sz="6" w:space="0" w:color="000000"/>
              <w:right w:val="single" w:sz="6" w:space="0" w:color="000000"/>
            </w:tcBorders>
          </w:tcPr>
          <w:p w14:paraId="50223D70" w14:textId="77777777" w:rsidR="009860F9" w:rsidRDefault="0065092B">
            <w:pPr>
              <w:pBdr>
                <w:top w:val="nil"/>
                <w:left w:val="nil"/>
                <w:bottom w:val="nil"/>
                <w:right w:val="nil"/>
                <w:between w:val="nil"/>
              </w:pBdr>
              <w:spacing w:line="360" w:lineRule="auto"/>
              <w:jc w:val="both"/>
              <w:rPr>
                <w:rFonts w:ascii="Arial" w:eastAsia="Arial" w:hAnsi="Arial" w:cs="Arial"/>
                <w:b/>
                <w:color w:val="000000"/>
                <w:sz w:val="18"/>
                <w:szCs w:val="18"/>
              </w:rPr>
            </w:pPr>
            <w:r>
              <w:rPr>
                <w:rFonts w:ascii="Arial" w:eastAsia="Arial" w:hAnsi="Arial" w:cs="Arial"/>
                <w:b/>
                <w:color w:val="000000"/>
                <w:sz w:val="18"/>
                <w:szCs w:val="18"/>
              </w:rPr>
              <w:t xml:space="preserve">NOMBRE DE LA ASIGNATURA O UNIDAD DE APRENDIZAJE. </w:t>
            </w:r>
          </w:p>
          <w:p w14:paraId="4C9BC0E3" w14:textId="77777777" w:rsidR="009860F9" w:rsidRDefault="009860F9">
            <w:pPr>
              <w:pBdr>
                <w:top w:val="nil"/>
                <w:left w:val="nil"/>
                <w:bottom w:val="nil"/>
                <w:right w:val="nil"/>
                <w:between w:val="nil"/>
              </w:pBdr>
              <w:spacing w:line="360" w:lineRule="auto"/>
              <w:jc w:val="both"/>
              <w:rPr>
                <w:rFonts w:ascii="Arial" w:eastAsia="Arial" w:hAnsi="Arial" w:cs="Arial"/>
                <w:color w:val="000000"/>
                <w:sz w:val="18"/>
                <w:szCs w:val="18"/>
              </w:rPr>
            </w:pPr>
          </w:p>
          <w:p w14:paraId="0E439E15" w14:textId="77777777" w:rsidR="009860F9" w:rsidRDefault="0065092B">
            <w:pPr>
              <w:spacing w:line="360" w:lineRule="auto"/>
              <w:rPr>
                <w:rFonts w:ascii="Arial" w:eastAsia="Arial" w:hAnsi="Arial" w:cs="Arial"/>
                <w:b/>
                <w:smallCaps/>
                <w:sz w:val="18"/>
                <w:szCs w:val="18"/>
              </w:rPr>
            </w:pPr>
            <w:r>
              <w:rPr>
                <w:rFonts w:ascii="Arial" w:eastAsia="Arial" w:hAnsi="Arial" w:cs="Arial"/>
                <w:b/>
                <w:smallCaps/>
                <w:sz w:val="18"/>
                <w:szCs w:val="18"/>
              </w:rPr>
              <w:t>BIOTECNOLOGÍA AMBIENTAL</w:t>
            </w:r>
          </w:p>
        </w:tc>
      </w:tr>
    </w:tbl>
    <w:p w14:paraId="4C2A3072" w14:textId="77777777" w:rsidR="009860F9" w:rsidRDefault="009860F9">
      <w:pPr>
        <w:pBdr>
          <w:top w:val="nil"/>
          <w:left w:val="nil"/>
          <w:bottom w:val="nil"/>
          <w:right w:val="nil"/>
          <w:between w:val="nil"/>
        </w:pBdr>
        <w:spacing w:line="360" w:lineRule="auto"/>
        <w:ind w:firstLine="288"/>
        <w:jc w:val="both"/>
        <w:rPr>
          <w:rFonts w:ascii="Arial" w:eastAsia="Arial" w:hAnsi="Arial" w:cs="Arial"/>
          <w:color w:val="000000"/>
          <w:sz w:val="18"/>
          <w:szCs w:val="18"/>
        </w:rPr>
      </w:pPr>
    </w:p>
    <w:tbl>
      <w:tblPr>
        <w:tblStyle w:val="a2"/>
        <w:tblW w:w="8712" w:type="dxa"/>
        <w:tblInd w:w="144" w:type="dxa"/>
        <w:tblLayout w:type="fixed"/>
        <w:tblLook w:val="0000" w:firstRow="0" w:lastRow="0" w:firstColumn="0" w:lastColumn="0" w:noHBand="0" w:noVBand="0"/>
      </w:tblPr>
      <w:tblGrid>
        <w:gridCol w:w="4176"/>
        <w:gridCol w:w="360"/>
        <w:gridCol w:w="4176"/>
      </w:tblGrid>
      <w:tr w:rsidR="009860F9" w14:paraId="76549D65" w14:textId="77777777">
        <w:tc>
          <w:tcPr>
            <w:tcW w:w="4176" w:type="dxa"/>
            <w:tcBorders>
              <w:top w:val="single" w:sz="6" w:space="0" w:color="000000"/>
              <w:left w:val="single" w:sz="6" w:space="0" w:color="000000"/>
              <w:right w:val="single" w:sz="6" w:space="0" w:color="000000"/>
            </w:tcBorders>
          </w:tcPr>
          <w:p w14:paraId="09915285" w14:textId="77777777" w:rsidR="009860F9" w:rsidRDefault="0065092B">
            <w:pPr>
              <w:pBdr>
                <w:top w:val="nil"/>
                <w:left w:val="nil"/>
                <w:bottom w:val="nil"/>
                <w:right w:val="nil"/>
                <w:between w:val="nil"/>
              </w:pBdr>
              <w:spacing w:line="360" w:lineRule="auto"/>
              <w:jc w:val="center"/>
              <w:rPr>
                <w:rFonts w:ascii="Arial" w:eastAsia="Arial" w:hAnsi="Arial" w:cs="Arial"/>
                <w:b/>
                <w:color w:val="000000"/>
                <w:sz w:val="18"/>
                <w:szCs w:val="18"/>
              </w:rPr>
            </w:pPr>
            <w:r>
              <w:rPr>
                <w:rFonts w:ascii="Arial" w:eastAsia="Arial" w:hAnsi="Arial" w:cs="Arial"/>
                <w:b/>
                <w:color w:val="000000"/>
                <w:sz w:val="18"/>
                <w:szCs w:val="18"/>
              </w:rPr>
              <w:t>CICLO</w:t>
            </w:r>
          </w:p>
        </w:tc>
        <w:tc>
          <w:tcPr>
            <w:tcW w:w="360" w:type="dxa"/>
          </w:tcPr>
          <w:p w14:paraId="27176846" w14:textId="77777777" w:rsidR="009860F9" w:rsidRDefault="009860F9">
            <w:pPr>
              <w:pBdr>
                <w:top w:val="nil"/>
                <w:left w:val="nil"/>
                <w:bottom w:val="nil"/>
                <w:right w:val="nil"/>
                <w:between w:val="nil"/>
              </w:pBdr>
              <w:spacing w:line="360" w:lineRule="auto"/>
              <w:jc w:val="center"/>
              <w:rPr>
                <w:rFonts w:ascii="Arial" w:eastAsia="Arial" w:hAnsi="Arial" w:cs="Arial"/>
                <w:b/>
                <w:color w:val="000000"/>
                <w:sz w:val="18"/>
                <w:szCs w:val="18"/>
              </w:rPr>
            </w:pPr>
          </w:p>
        </w:tc>
        <w:tc>
          <w:tcPr>
            <w:tcW w:w="4176" w:type="dxa"/>
            <w:tcBorders>
              <w:top w:val="single" w:sz="6" w:space="0" w:color="000000"/>
              <w:left w:val="single" w:sz="6" w:space="0" w:color="000000"/>
              <w:right w:val="single" w:sz="6" w:space="0" w:color="000000"/>
            </w:tcBorders>
          </w:tcPr>
          <w:p w14:paraId="4808027F" w14:textId="77777777" w:rsidR="009860F9" w:rsidRDefault="0065092B">
            <w:pPr>
              <w:pBdr>
                <w:top w:val="nil"/>
                <w:left w:val="nil"/>
                <w:bottom w:val="nil"/>
                <w:right w:val="nil"/>
                <w:between w:val="nil"/>
              </w:pBdr>
              <w:spacing w:line="360" w:lineRule="auto"/>
              <w:jc w:val="center"/>
              <w:rPr>
                <w:rFonts w:ascii="Arial" w:eastAsia="Arial" w:hAnsi="Arial" w:cs="Arial"/>
                <w:b/>
                <w:color w:val="000000"/>
                <w:sz w:val="18"/>
                <w:szCs w:val="18"/>
              </w:rPr>
            </w:pPr>
            <w:r>
              <w:rPr>
                <w:rFonts w:ascii="Arial" w:eastAsia="Arial" w:hAnsi="Arial" w:cs="Arial"/>
                <w:b/>
                <w:color w:val="000000"/>
                <w:sz w:val="18"/>
                <w:szCs w:val="18"/>
              </w:rPr>
              <w:t>CLAVE DE LA ASIGNATURA</w:t>
            </w:r>
          </w:p>
        </w:tc>
      </w:tr>
      <w:tr w:rsidR="009860F9" w14:paraId="1E9FA1B4" w14:textId="77777777">
        <w:tc>
          <w:tcPr>
            <w:tcW w:w="4176" w:type="dxa"/>
            <w:tcBorders>
              <w:left w:val="single" w:sz="6" w:space="0" w:color="000000"/>
              <w:bottom w:val="single" w:sz="6" w:space="0" w:color="000000"/>
              <w:right w:val="single" w:sz="6" w:space="0" w:color="000000"/>
            </w:tcBorders>
          </w:tcPr>
          <w:p w14:paraId="27273509" w14:textId="77777777" w:rsidR="009860F9" w:rsidRDefault="0065092B">
            <w:pPr>
              <w:pBdr>
                <w:top w:val="nil"/>
                <w:left w:val="nil"/>
                <w:bottom w:val="nil"/>
                <w:right w:val="nil"/>
                <w:between w:val="nil"/>
              </w:pBdr>
              <w:spacing w:line="360" w:lineRule="auto"/>
              <w:jc w:val="center"/>
              <w:rPr>
                <w:rFonts w:ascii="Arial" w:eastAsia="Arial" w:hAnsi="Arial" w:cs="Arial"/>
                <w:color w:val="000000"/>
                <w:sz w:val="18"/>
                <w:szCs w:val="18"/>
              </w:rPr>
            </w:pPr>
            <w:r>
              <w:rPr>
                <w:rFonts w:ascii="Arial" w:eastAsia="Arial" w:hAnsi="Arial" w:cs="Arial"/>
                <w:color w:val="000000"/>
                <w:sz w:val="18"/>
                <w:szCs w:val="18"/>
              </w:rPr>
              <w:t>PRIMER SEMESTRE</w:t>
            </w:r>
          </w:p>
        </w:tc>
        <w:tc>
          <w:tcPr>
            <w:tcW w:w="360" w:type="dxa"/>
          </w:tcPr>
          <w:p w14:paraId="262A722A" w14:textId="77777777" w:rsidR="009860F9" w:rsidRDefault="009860F9">
            <w:pPr>
              <w:pBdr>
                <w:top w:val="nil"/>
                <w:left w:val="nil"/>
                <w:bottom w:val="nil"/>
                <w:right w:val="nil"/>
                <w:between w:val="nil"/>
              </w:pBdr>
              <w:spacing w:line="360" w:lineRule="auto"/>
              <w:jc w:val="center"/>
              <w:rPr>
                <w:rFonts w:ascii="Arial" w:eastAsia="Arial" w:hAnsi="Arial" w:cs="Arial"/>
                <w:color w:val="000000"/>
                <w:sz w:val="18"/>
                <w:szCs w:val="18"/>
              </w:rPr>
            </w:pPr>
          </w:p>
        </w:tc>
        <w:tc>
          <w:tcPr>
            <w:tcW w:w="4176" w:type="dxa"/>
            <w:tcBorders>
              <w:left w:val="single" w:sz="6" w:space="0" w:color="000000"/>
              <w:bottom w:val="single" w:sz="6" w:space="0" w:color="000000"/>
              <w:right w:val="single" w:sz="6" w:space="0" w:color="000000"/>
            </w:tcBorders>
          </w:tcPr>
          <w:p w14:paraId="456A6B35" w14:textId="77777777" w:rsidR="009860F9" w:rsidRDefault="0065092B">
            <w:pPr>
              <w:pBdr>
                <w:top w:val="nil"/>
                <w:left w:val="nil"/>
                <w:bottom w:val="nil"/>
                <w:right w:val="nil"/>
                <w:between w:val="nil"/>
              </w:pBdr>
              <w:spacing w:line="360" w:lineRule="auto"/>
              <w:jc w:val="center"/>
              <w:rPr>
                <w:rFonts w:ascii="Arial" w:eastAsia="Arial" w:hAnsi="Arial" w:cs="Arial"/>
                <w:color w:val="000000"/>
                <w:sz w:val="18"/>
                <w:szCs w:val="18"/>
              </w:rPr>
            </w:pPr>
            <w:r>
              <w:rPr>
                <w:rFonts w:ascii="Arial" w:eastAsia="Arial" w:hAnsi="Arial" w:cs="Arial"/>
                <w:color w:val="000000"/>
                <w:sz w:val="18"/>
                <w:szCs w:val="18"/>
              </w:rPr>
              <w:t>CA-104</w:t>
            </w:r>
          </w:p>
        </w:tc>
      </w:tr>
    </w:tbl>
    <w:p w14:paraId="6D0B3ADF" w14:textId="77777777" w:rsidR="009860F9" w:rsidRDefault="009860F9">
      <w:pPr>
        <w:pBdr>
          <w:top w:val="nil"/>
          <w:left w:val="nil"/>
          <w:bottom w:val="nil"/>
          <w:right w:val="nil"/>
          <w:between w:val="nil"/>
        </w:pBdr>
        <w:spacing w:line="360" w:lineRule="auto"/>
        <w:ind w:firstLine="288"/>
        <w:jc w:val="both"/>
        <w:rPr>
          <w:rFonts w:ascii="Arial" w:eastAsia="Arial" w:hAnsi="Arial" w:cs="Arial"/>
          <w:color w:val="000000"/>
          <w:sz w:val="18"/>
          <w:szCs w:val="18"/>
        </w:rPr>
      </w:pPr>
    </w:p>
    <w:p w14:paraId="62DE7DF6" w14:textId="77777777" w:rsidR="009860F9" w:rsidRDefault="0065092B">
      <w:pPr>
        <w:spacing w:line="360" w:lineRule="auto"/>
        <w:jc w:val="both"/>
        <w:rPr>
          <w:rFonts w:ascii="Arial" w:eastAsia="Arial" w:hAnsi="Arial" w:cs="Arial"/>
          <w:sz w:val="18"/>
          <w:szCs w:val="18"/>
        </w:rPr>
      </w:pPr>
      <w:r>
        <w:rPr>
          <w:rFonts w:ascii="Arial" w:eastAsia="Arial" w:hAnsi="Arial" w:cs="Arial"/>
          <w:b/>
          <w:sz w:val="18"/>
          <w:szCs w:val="18"/>
        </w:rPr>
        <w:t xml:space="preserve">OBJETIVO(S) GENERAL(ES) DE LA ASIGNATURA </w:t>
      </w:r>
      <w:r>
        <w:rPr>
          <w:rFonts w:ascii="Arial" w:eastAsia="Arial" w:hAnsi="Arial" w:cs="Arial"/>
          <w:sz w:val="18"/>
          <w:szCs w:val="18"/>
        </w:rPr>
        <w:t xml:space="preserve"> </w:t>
      </w:r>
    </w:p>
    <w:p w14:paraId="0C933770" w14:textId="77777777" w:rsidR="009860F9" w:rsidRDefault="0065092B">
      <w:pPr>
        <w:spacing w:line="360" w:lineRule="auto"/>
        <w:ind w:left="426"/>
        <w:jc w:val="both"/>
        <w:rPr>
          <w:rFonts w:ascii="Arial" w:eastAsia="Arial" w:hAnsi="Arial" w:cs="Arial"/>
          <w:sz w:val="18"/>
          <w:szCs w:val="18"/>
        </w:rPr>
      </w:pPr>
      <w:r>
        <w:rPr>
          <w:rFonts w:ascii="Arial" w:eastAsia="Arial" w:hAnsi="Arial" w:cs="Arial"/>
          <w:sz w:val="18"/>
          <w:szCs w:val="18"/>
        </w:rPr>
        <w:t>Esta asignatura tiene como objetivo que los estudiantes interesados en el área de Biotecnología e Ingeniería Ambiental dispongan de las herramientas esenciales para el entendimiento y el diseño de los procesos microbiológicos usados en tecnología ambiental. En este curso se revisarán los aspectos básicos del metabolismo celular, cinética de reacciones biológicas, fenómenos de transporte de masa en biopelículas e ingeniería de biorreactores. El curso contempla exclusivamente sesiones teóricas donde también se pretende estimular los hábitos de lectura crítica y razonamiento lógico mediante el análisis de textos especializados.</w:t>
      </w:r>
    </w:p>
    <w:p w14:paraId="06C27AD7" w14:textId="77777777" w:rsidR="009860F9" w:rsidRDefault="009860F9">
      <w:pPr>
        <w:spacing w:line="360" w:lineRule="auto"/>
        <w:ind w:left="288"/>
        <w:jc w:val="both"/>
        <w:rPr>
          <w:rFonts w:ascii="Arial" w:eastAsia="Arial" w:hAnsi="Arial" w:cs="Arial"/>
          <w:sz w:val="18"/>
          <w:szCs w:val="18"/>
        </w:rPr>
      </w:pPr>
    </w:p>
    <w:p w14:paraId="6DEF3197" w14:textId="77777777" w:rsidR="009860F9" w:rsidRDefault="0065092B">
      <w:pPr>
        <w:pBdr>
          <w:top w:val="nil"/>
          <w:left w:val="nil"/>
          <w:bottom w:val="nil"/>
          <w:right w:val="nil"/>
          <w:between w:val="nil"/>
        </w:pBdr>
        <w:spacing w:line="360" w:lineRule="auto"/>
        <w:jc w:val="both"/>
        <w:rPr>
          <w:rFonts w:ascii="Arial" w:eastAsia="Arial" w:hAnsi="Arial" w:cs="Arial"/>
          <w:b/>
          <w:color w:val="000000"/>
          <w:sz w:val="18"/>
          <w:szCs w:val="18"/>
        </w:rPr>
      </w:pPr>
      <w:r>
        <w:rPr>
          <w:rFonts w:ascii="Arial" w:eastAsia="Arial" w:hAnsi="Arial" w:cs="Arial"/>
          <w:b/>
          <w:color w:val="000000"/>
          <w:sz w:val="18"/>
          <w:szCs w:val="18"/>
        </w:rPr>
        <w:t xml:space="preserve">TEMAS Y SUBTEMAS </w:t>
      </w:r>
    </w:p>
    <w:p w14:paraId="0C4E637F" w14:textId="77777777" w:rsidR="009860F9" w:rsidRDefault="0065092B">
      <w:pPr>
        <w:spacing w:before="120" w:line="360" w:lineRule="auto"/>
        <w:ind w:left="426"/>
        <w:jc w:val="both"/>
        <w:rPr>
          <w:rFonts w:ascii="Arial" w:eastAsia="Arial" w:hAnsi="Arial" w:cs="Arial"/>
          <w:b/>
          <w:sz w:val="18"/>
          <w:szCs w:val="18"/>
        </w:rPr>
      </w:pPr>
      <w:r>
        <w:rPr>
          <w:rFonts w:ascii="Arial" w:eastAsia="Arial" w:hAnsi="Arial" w:cs="Arial"/>
          <w:b/>
          <w:sz w:val="18"/>
          <w:szCs w:val="18"/>
        </w:rPr>
        <w:t>Unidad 1: Fundamentos de Biotecnología Ambiental</w:t>
      </w:r>
    </w:p>
    <w:p w14:paraId="364BB982"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1. Microbiología</w:t>
      </w:r>
    </w:p>
    <w:p w14:paraId="121876D0" w14:textId="77777777" w:rsidR="009860F9" w:rsidRDefault="0065092B">
      <w:pPr>
        <w:spacing w:line="360" w:lineRule="auto"/>
        <w:ind w:left="1560"/>
        <w:jc w:val="both"/>
        <w:rPr>
          <w:rFonts w:ascii="Arial" w:eastAsia="Arial" w:hAnsi="Arial" w:cs="Arial"/>
          <w:sz w:val="18"/>
          <w:szCs w:val="18"/>
        </w:rPr>
      </w:pPr>
      <w:r>
        <w:rPr>
          <w:rFonts w:ascii="Arial" w:eastAsia="Arial" w:hAnsi="Arial" w:cs="Arial"/>
          <w:sz w:val="18"/>
          <w:szCs w:val="18"/>
        </w:rPr>
        <w:t>1.1. La célula</w:t>
      </w:r>
    </w:p>
    <w:p w14:paraId="4F92C115" w14:textId="77777777" w:rsidR="009860F9" w:rsidRDefault="0065092B">
      <w:pPr>
        <w:spacing w:line="360" w:lineRule="auto"/>
        <w:ind w:left="1560"/>
        <w:jc w:val="both"/>
        <w:rPr>
          <w:rFonts w:ascii="Arial" w:eastAsia="Arial" w:hAnsi="Arial" w:cs="Arial"/>
          <w:sz w:val="18"/>
          <w:szCs w:val="18"/>
        </w:rPr>
      </w:pPr>
      <w:r>
        <w:rPr>
          <w:rFonts w:ascii="Arial" w:eastAsia="Arial" w:hAnsi="Arial" w:cs="Arial"/>
          <w:sz w:val="18"/>
          <w:szCs w:val="18"/>
        </w:rPr>
        <w:t>1.2. Procariotas y eucariotas</w:t>
      </w:r>
    </w:p>
    <w:p w14:paraId="4C063352" w14:textId="77777777" w:rsidR="009860F9" w:rsidRDefault="0065092B">
      <w:pPr>
        <w:spacing w:line="360" w:lineRule="auto"/>
        <w:ind w:left="1560"/>
        <w:jc w:val="both"/>
        <w:rPr>
          <w:rFonts w:ascii="Arial" w:eastAsia="Arial" w:hAnsi="Arial" w:cs="Arial"/>
          <w:sz w:val="18"/>
          <w:szCs w:val="18"/>
        </w:rPr>
      </w:pPr>
      <w:r>
        <w:rPr>
          <w:rFonts w:ascii="Arial" w:eastAsia="Arial" w:hAnsi="Arial" w:cs="Arial"/>
          <w:sz w:val="18"/>
          <w:szCs w:val="18"/>
        </w:rPr>
        <w:t>1.3. Enzimas</w:t>
      </w:r>
    </w:p>
    <w:p w14:paraId="24EBB1D3" w14:textId="77777777" w:rsidR="009860F9" w:rsidRDefault="0065092B">
      <w:pPr>
        <w:spacing w:line="360" w:lineRule="auto"/>
        <w:ind w:left="1560"/>
        <w:jc w:val="both"/>
        <w:rPr>
          <w:rFonts w:ascii="Arial" w:eastAsia="Arial" w:hAnsi="Arial" w:cs="Arial"/>
          <w:sz w:val="18"/>
          <w:szCs w:val="18"/>
        </w:rPr>
      </w:pPr>
      <w:r>
        <w:rPr>
          <w:rFonts w:ascii="Arial" w:eastAsia="Arial" w:hAnsi="Arial" w:cs="Arial"/>
          <w:sz w:val="18"/>
          <w:szCs w:val="18"/>
        </w:rPr>
        <w:t>1.4. Metabolismo</w:t>
      </w:r>
    </w:p>
    <w:p w14:paraId="0111A7C0"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2. Estequiometría y energética microbiana</w:t>
      </w:r>
    </w:p>
    <w:p w14:paraId="1D5D17CA" w14:textId="77777777" w:rsidR="009860F9" w:rsidRDefault="0065092B">
      <w:pPr>
        <w:spacing w:line="360" w:lineRule="auto"/>
        <w:ind w:left="1560"/>
        <w:jc w:val="both"/>
        <w:rPr>
          <w:rFonts w:ascii="Arial" w:eastAsia="Arial" w:hAnsi="Arial" w:cs="Arial"/>
          <w:sz w:val="18"/>
          <w:szCs w:val="18"/>
        </w:rPr>
      </w:pPr>
      <w:r>
        <w:rPr>
          <w:rFonts w:ascii="Arial" w:eastAsia="Arial" w:hAnsi="Arial" w:cs="Arial"/>
          <w:sz w:val="18"/>
          <w:szCs w:val="18"/>
        </w:rPr>
        <w:t>2.1. Estequiometría y fórmulas empíricas para células microbianas</w:t>
      </w:r>
    </w:p>
    <w:p w14:paraId="17666C37" w14:textId="77777777" w:rsidR="009860F9" w:rsidRDefault="0065092B">
      <w:pPr>
        <w:spacing w:line="360" w:lineRule="auto"/>
        <w:ind w:left="1560"/>
        <w:jc w:val="both"/>
        <w:rPr>
          <w:rFonts w:ascii="Arial" w:eastAsia="Arial" w:hAnsi="Arial" w:cs="Arial"/>
          <w:sz w:val="18"/>
          <w:szCs w:val="18"/>
        </w:rPr>
      </w:pPr>
      <w:r>
        <w:rPr>
          <w:rFonts w:ascii="Arial" w:eastAsia="Arial" w:hAnsi="Arial" w:cs="Arial"/>
          <w:sz w:val="18"/>
          <w:szCs w:val="18"/>
        </w:rPr>
        <w:t>2.2. Utilización de sustrato y rendimiento celular</w:t>
      </w:r>
    </w:p>
    <w:p w14:paraId="4F523210" w14:textId="77777777" w:rsidR="009860F9" w:rsidRDefault="0065092B">
      <w:pPr>
        <w:spacing w:line="360" w:lineRule="auto"/>
        <w:ind w:left="1560"/>
        <w:jc w:val="both"/>
        <w:rPr>
          <w:rFonts w:ascii="Arial" w:eastAsia="Arial" w:hAnsi="Arial" w:cs="Arial"/>
          <w:sz w:val="18"/>
          <w:szCs w:val="18"/>
        </w:rPr>
      </w:pPr>
      <w:r>
        <w:rPr>
          <w:rFonts w:ascii="Arial" w:eastAsia="Arial" w:hAnsi="Arial" w:cs="Arial"/>
          <w:sz w:val="18"/>
          <w:szCs w:val="18"/>
        </w:rPr>
        <w:t xml:space="preserve">2.3. Energética y crecimiento bacteriano  </w:t>
      </w:r>
    </w:p>
    <w:p w14:paraId="1F577B39" w14:textId="77777777" w:rsidR="009860F9" w:rsidRDefault="0065092B">
      <w:pPr>
        <w:spacing w:line="360" w:lineRule="auto"/>
        <w:ind w:left="1560"/>
        <w:jc w:val="both"/>
        <w:rPr>
          <w:rFonts w:ascii="Arial" w:eastAsia="Arial" w:hAnsi="Arial" w:cs="Arial"/>
          <w:sz w:val="18"/>
          <w:szCs w:val="18"/>
        </w:rPr>
      </w:pPr>
      <w:r>
        <w:rPr>
          <w:rFonts w:ascii="Arial" w:eastAsia="Arial" w:hAnsi="Arial" w:cs="Arial"/>
          <w:sz w:val="18"/>
          <w:szCs w:val="18"/>
        </w:rPr>
        <w:t>2.4. Flujos energéticos celulares y cadena respiratoria</w:t>
      </w:r>
    </w:p>
    <w:p w14:paraId="7A1F0EF9" w14:textId="77777777" w:rsidR="009860F9" w:rsidRDefault="0065092B">
      <w:pPr>
        <w:spacing w:line="360" w:lineRule="auto"/>
        <w:ind w:left="1560"/>
        <w:jc w:val="both"/>
        <w:rPr>
          <w:rFonts w:ascii="Arial" w:eastAsia="Arial" w:hAnsi="Arial" w:cs="Arial"/>
          <w:sz w:val="18"/>
          <w:szCs w:val="18"/>
        </w:rPr>
      </w:pPr>
      <w:r>
        <w:rPr>
          <w:rFonts w:ascii="Arial" w:eastAsia="Arial" w:hAnsi="Arial" w:cs="Arial"/>
          <w:sz w:val="18"/>
          <w:szCs w:val="18"/>
        </w:rPr>
        <w:t>2,5. Eficiencia termodinámica en sistemas biológicos (entalpía y energía libre de Gibbs)</w:t>
      </w:r>
    </w:p>
    <w:p w14:paraId="148E5B6C" w14:textId="77777777" w:rsidR="009860F9" w:rsidRDefault="0065092B">
      <w:pPr>
        <w:spacing w:line="360" w:lineRule="auto"/>
        <w:ind w:left="1560"/>
        <w:jc w:val="both"/>
        <w:rPr>
          <w:rFonts w:ascii="Arial" w:eastAsia="Arial" w:hAnsi="Arial" w:cs="Arial"/>
          <w:sz w:val="18"/>
          <w:szCs w:val="18"/>
        </w:rPr>
      </w:pPr>
      <w:r>
        <w:rPr>
          <w:rFonts w:ascii="Arial" w:eastAsia="Arial" w:hAnsi="Arial" w:cs="Arial"/>
          <w:sz w:val="18"/>
          <w:szCs w:val="18"/>
        </w:rPr>
        <w:t>2.6. Ejercicios de estequiometría en sistemas microbianos</w:t>
      </w:r>
    </w:p>
    <w:p w14:paraId="3456068B" w14:textId="77777777" w:rsidR="009860F9" w:rsidRDefault="0065092B">
      <w:pPr>
        <w:spacing w:before="120" w:line="360" w:lineRule="auto"/>
        <w:ind w:left="426"/>
        <w:jc w:val="both"/>
        <w:rPr>
          <w:rFonts w:ascii="Arial" w:eastAsia="Arial" w:hAnsi="Arial" w:cs="Arial"/>
          <w:b/>
          <w:sz w:val="18"/>
          <w:szCs w:val="18"/>
        </w:rPr>
      </w:pPr>
      <w:r>
        <w:rPr>
          <w:rFonts w:ascii="Arial" w:eastAsia="Arial" w:hAnsi="Arial" w:cs="Arial"/>
          <w:b/>
          <w:sz w:val="18"/>
          <w:szCs w:val="18"/>
        </w:rPr>
        <w:t>Unidad 2: Cinética microbiana</w:t>
      </w:r>
    </w:p>
    <w:p w14:paraId="6345C0D6"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1. Descripción cinética de crecimiento microbiano en cultivos mixtos y axénicos</w:t>
      </w:r>
    </w:p>
    <w:p w14:paraId="0603B061"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 xml:space="preserve">2. Expresiones básicas de crecimiento microbiano </w:t>
      </w:r>
    </w:p>
    <w:p w14:paraId="56923C86"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3. Balances de masa en cultivos microbianos</w:t>
      </w:r>
    </w:p>
    <w:p w14:paraId="4328BEDD"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4. Nutrientes y aceptores de electrones</w:t>
      </w:r>
    </w:p>
    <w:p w14:paraId="0D2F0A7E"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5. Utilización de mezcla de sustratos</w:t>
      </w:r>
    </w:p>
    <w:p w14:paraId="60B22DF5"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6. Cinéticas de inhibición</w:t>
      </w:r>
    </w:p>
    <w:p w14:paraId="2E99F3F6"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7. Cinética de reacción competitiva</w:t>
      </w:r>
    </w:p>
    <w:p w14:paraId="6330E3AE"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8. Cinética de los productos solubles microbianos</w:t>
      </w:r>
    </w:p>
    <w:p w14:paraId="659B76B5"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 xml:space="preserve">9. Ejemplos de cálculos de cinética microbiana </w:t>
      </w:r>
    </w:p>
    <w:p w14:paraId="1825D832"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10. Diversidad metabólica y microbiología ambiental</w:t>
      </w:r>
    </w:p>
    <w:p w14:paraId="7EE3B2DA" w14:textId="77777777" w:rsidR="009860F9" w:rsidRDefault="0065092B">
      <w:pPr>
        <w:spacing w:before="120" w:line="360" w:lineRule="auto"/>
        <w:ind w:left="426"/>
        <w:jc w:val="both"/>
        <w:rPr>
          <w:rFonts w:ascii="Arial" w:eastAsia="Arial" w:hAnsi="Arial" w:cs="Arial"/>
          <w:b/>
          <w:sz w:val="18"/>
          <w:szCs w:val="18"/>
        </w:rPr>
      </w:pPr>
      <w:r>
        <w:rPr>
          <w:rFonts w:ascii="Arial" w:eastAsia="Arial" w:hAnsi="Arial" w:cs="Arial"/>
          <w:b/>
          <w:sz w:val="18"/>
          <w:szCs w:val="18"/>
        </w:rPr>
        <w:lastRenderedPageBreak/>
        <w:t>Unidad 3: Principios básicos de procesos de transporte</w:t>
      </w:r>
    </w:p>
    <w:p w14:paraId="00515A59"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1. Difusión en medios biológicos</w:t>
      </w:r>
    </w:p>
    <w:p w14:paraId="4C03B344" w14:textId="77777777" w:rsidR="009860F9" w:rsidRDefault="0065092B">
      <w:pPr>
        <w:spacing w:line="360" w:lineRule="auto"/>
        <w:ind w:left="1560"/>
        <w:jc w:val="both"/>
        <w:rPr>
          <w:rFonts w:ascii="Arial" w:eastAsia="Arial" w:hAnsi="Arial" w:cs="Arial"/>
          <w:sz w:val="18"/>
          <w:szCs w:val="18"/>
        </w:rPr>
      </w:pPr>
      <w:r>
        <w:rPr>
          <w:rFonts w:ascii="Arial" w:eastAsia="Arial" w:hAnsi="Arial" w:cs="Arial"/>
          <w:sz w:val="18"/>
          <w:szCs w:val="18"/>
        </w:rPr>
        <w:t>1.1. Mecanismos de transporte de masa</w:t>
      </w:r>
    </w:p>
    <w:p w14:paraId="4501149E" w14:textId="77777777" w:rsidR="009860F9" w:rsidRDefault="0065092B">
      <w:pPr>
        <w:spacing w:line="360" w:lineRule="auto"/>
        <w:ind w:left="1560"/>
        <w:jc w:val="both"/>
        <w:rPr>
          <w:rFonts w:ascii="Arial" w:eastAsia="Arial" w:hAnsi="Arial" w:cs="Arial"/>
          <w:sz w:val="18"/>
          <w:szCs w:val="18"/>
        </w:rPr>
      </w:pPr>
      <w:r>
        <w:rPr>
          <w:rFonts w:ascii="Arial" w:eastAsia="Arial" w:hAnsi="Arial" w:cs="Arial"/>
          <w:sz w:val="18"/>
          <w:szCs w:val="18"/>
        </w:rPr>
        <w:t>1.2. Ley de Fick</w:t>
      </w:r>
    </w:p>
    <w:p w14:paraId="5580BC40"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 xml:space="preserve">2. Transporte en la interfase gas-líquido </w:t>
      </w:r>
    </w:p>
    <w:p w14:paraId="46C2CEB2"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3. Solubilidad de gases en medios biológicos</w:t>
      </w:r>
    </w:p>
    <w:p w14:paraId="3A806EA3"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4. Coeficientes de transferencia de masa</w:t>
      </w:r>
    </w:p>
    <w:p w14:paraId="6C21333C"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5. Gas hold-up, área interfacial, K</w:t>
      </w:r>
      <w:r>
        <w:rPr>
          <w:rFonts w:ascii="Arial" w:eastAsia="Arial" w:hAnsi="Arial" w:cs="Arial"/>
          <w:sz w:val="18"/>
          <w:szCs w:val="18"/>
          <w:vertAlign w:val="subscript"/>
        </w:rPr>
        <w:t>L</w:t>
      </w:r>
      <w:r>
        <w:rPr>
          <w:rFonts w:ascii="Arial" w:eastAsia="Arial" w:hAnsi="Arial" w:cs="Arial"/>
          <w:sz w:val="18"/>
          <w:szCs w:val="18"/>
        </w:rPr>
        <w:t xml:space="preserve"> y patrones de circulación de líquido</w:t>
      </w:r>
    </w:p>
    <w:p w14:paraId="50B784B3"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6. Transferencia de oxígeno gas-líquido</w:t>
      </w:r>
    </w:p>
    <w:p w14:paraId="2B6AA344"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7. Correlaciones y métodos para calcular k</w:t>
      </w:r>
      <w:r>
        <w:rPr>
          <w:rFonts w:ascii="Arial" w:eastAsia="Arial" w:hAnsi="Arial" w:cs="Arial"/>
          <w:sz w:val="18"/>
          <w:szCs w:val="18"/>
          <w:vertAlign w:val="subscript"/>
        </w:rPr>
        <w:t>La</w:t>
      </w:r>
    </w:p>
    <w:p w14:paraId="3506322F" w14:textId="77777777" w:rsidR="009860F9" w:rsidRDefault="0065092B">
      <w:pPr>
        <w:spacing w:before="120" w:line="360" w:lineRule="auto"/>
        <w:ind w:left="426"/>
        <w:jc w:val="both"/>
        <w:rPr>
          <w:rFonts w:ascii="Arial" w:eastAsia="Arial" w:hAnsi="Arial" w:cs="Arial"/>
          <w:b/>
          <w:sz w:val="18"/>
          <w:szCs w:val="18"/>
        </w:rPr>
      </w:pPr>
      <w:r>
        <w:rPr>
          <w:rFonts w:ascii="Arial" w:eastAsia="Arial" w:hAnsi="Arial" w:cs="Arial"/>
          <w:b/>
          <w:sz w:val="18"/>
          <w:szCs w:val="18"/>
        </w:rPr>
        <w:t>Unidad 4: Fundamentos de biopelículas</w:t>
      </w:r>
    </w:p>
    <w:p w14:paraId="49BFFDAE"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1. Principios básicos de biopelículas</w:t>
      </w:r>
    </w:p>
    <w:p w14:paraId="6573D66C"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2. Fenómenos de transporte en biopelículas</w:t>
      </w:r>
    </w:p>
    <w:p w14:paraId="27F5E1C0" w14:textId="77777777" w:rsidR="009860F9" w:rsidRDefault="0065092B">
      <w:pPr>
        <w:spacing w:line="360" w:lineRule="auto"/>
        <w:ind w:left="1560"/>
        <w:jc w:val="both"/>
        <w:rPr>
          <w:rFonts w:ascii="Arial" w:eastAsia="Arial" w:hAnsi="Arial" w:cs="Arial"/>
          <w:sz w:val="18"/>
          <w:szCs w:val="18"/>
        </w:rPr>
      </w:pPr>
      <w:r>
        <w:rPr>
          <w:rFonts w:ascii="Arial" w:eastAsia="Arial" w:hAnsi="Arial" w:cs="Arial"/>
          <w:sz w:val="18"/>
          <w:szCs w:val="18"/>
        </w:rPr>
        <w:t>2.1. Estado estable</w:t>
      </w:r>
    </w:p>
    <w:p w14:paraId="1EE24789" w14:textId="77777777" w:rsidR="009860F9" w:rsidRDefault="0065092B">
      <w:pPr>
        <w:spacing w:line="360" w:lineRule="auto"/>
        <w:ind w:left="1560"/>
        <w:jc w:val="both"/>
        <w:rPr>
          <w:rFonts w:ascii="Arial" w:eastAsia="Arial" w:hAnsi="Arial" w:cs="Arial"/>
          <w:sz w:val="18"/>
          <w:szCs w:val="18"/>
        </w:rPr>
      </w:pPr>
      <w:r>
        <w:rPr>
          <w:rFonts w:ascii="Arial" w:eastAsia="Arial" w:hAnsi="Arial" w:cs="Arial"/>
          <w:sz w:val="18"/>
          <w:szCs w:val="18"/>
        </w:rPr>
        <w:t>2.2. Estado transitorio</w:t>
      </w:r>
    </w:p>
    <w:p w14:paraId="69DF22DE"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3. Biopelículas en reactores</w:t>
      </w:r>
    </w:p>
    <w:p w14:paraId="30497F28"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4. Modelos para biopelículas</w:t>
      </w:r>
    </w:p>
    <w:p w14:paraId="0E9FF993" w14:textId="77777777" w:rsidR="009860F9" w:rsidRDefault="0065092B">
      <w:pPr>
        <w:spacing w:before="120" w:line="360" w:lineRule="auto"/>
        <w:ind w:left="426"/>
        <w:jc w:val="both"/>
        <w:rPr>
          <w:rFonts w:ascii="Arial" w:eastAsia="Arial" w:hAnsi="Arial" w:cs="Arial"/>
          <w:b/>
          <w:sz w:val="18"/>
          <w:szCs w:val="18"/>
        </w:rPr>
      </w:pPr>
      <w:r>
        <w:rPr>
          <w:rFonts w:ascii="Arial" w:eastAsia="Arial" w:hAnsi="Arial" w:cs="Arial"/>
          <w:b/>
          <w:sz w:val="18"/>
          <w:szCs w:val="18"/>
        </w:rPr>
        <w:t>Unidad 5: Ingeniería de biorreactores</w:t>
      </w:r>
    </w:p>
    <w:p w14:paraId="2A36404A"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1. Tipos de reactores</w:t>
      </w:r>
    </w:p>
    <w:p w14:paraId="7E4D2016"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2. Reactor en lote</w:t>
      </w:r>
    </w:p>
    <w:p w14:paraId="6FD4D796"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3. Reactor de tanque agitado de flujo continuo</w:t>
      </w:r>
    </w:p>
    <w:p w14:paraId="535F8F66"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4. Reactor de flujo tapón</w:t>
      </w:r>
    </w:p>
    <w:p w14:paraId="140D2A47"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 xml:space="preserve">5. Reactores con recirculación </w:t>
      </w:r>
    </w:p>
    <w:p w14:paraId="581BA0AF" w14:textId="77777777" w:rsidR="009860F9" w:rsidRDefault="0065092B">
      <w:pPr>
        <w:spacing w:line="360" w:lineRule="auto"/>
        <w:ind w:left="993"/>
        <w:jc w:val="both"/>
        <w:rPr>
          <w:rFonts w:ascii="Arial" w:eastAsia="Arial" w:hAnsi="Arial" w:cs="Arial"/>
          <w:sz w:val="18"/>
          <w:szCs w:val="18"/>
        </w:rPr>
      </w:pPr>
      <w:r>
        <w:rPr>
          <w:rFonts w:ascii="Arial" w:eastAsia="Arial" w:hAnsi="Arial" w:cs="Arial"/>
          <w:sz w:val="18"/>
          <w:szCs w:val="18"/>
        </w:rPr>
        <w:t>6. Diseño de reactores</w:t>
      </w:r>
    </w:p>
    <w:p w14:paraId="36F050F0" w14:textId="77777777" w:rsidR="009860F9" w:rsidRDefault="009860F9">
      <w:pPr>
        <w:spacing w:line="360" w:lineRule="auto"/>
        <w:jc w:val="both"/>
        <w:rPr>
          <w:rFonts w:ascii="Arial" w:eastAsia="Arial" w:hAnsi="Arial" w:cs="Arial"/>
          <w:sz w:val="18"/>
          <w:szCs w:val="18"/>
        </w:rPr>
      </w:pPr>
    </w:p>
    <w:p w14:paraId="3C5DC83A" w14:textId="77777777" w:rsidR="009860F9" w:rsidRDefault="0065092B">
      <w:pPr>
        <w:pBdr>
          <w:top w:val="nil"/>
          <w:left w:val="nil"/>
          <w:bottom w:val="nil"/>
          <w:right w:val="nil"/>
          <w:between w:val="nil"/>
        </w:pBdr>
        <w:spacing w:line="360" w:lineRule="auto"/>
        <w:jc w:val="both"/>
        <w:rPr>
          <w:rFonts w:ascii="Arial" w:eastAsia="Arial" w:hAnsi="Arial" w:cs="Arial"/>
          <w:b/>
          <w:color w:val="000000"/>
          <w:sz w:val="18"/>
          <w:szCs w:val="18"/>
        </w:rPr>
      </w:pPr>
      <w:r>
        <w:rPr>
          <w:rFonts w:ascii="Arial" w:eastAsia="Arial" w:hAnsi="Arial" w:cs="Arial"/>
          <w:b/>
          <w:color w:val="000000"/>
          <w:sz w:val="18"/>
          <w:szCs w:val="18"/>
        </w:rPr>
        <w:t xml:space="preserve">ACTIVIDADES DE ENSEÑANZA-APRENDIZAJE </w:t>
      </w:r>
    </w:p>
    <w:p w14:paraId="74D72605" w14:textId="57E7CE61" w:rsidR="009860F9" w:rsidRDefault="0065092B">
      <w:pPr>
        <w:pBdr>
          <w:top w:val="nil"/>
          <w:left w:val="nil"/>
          <w:bottom w:val="nil"/>
          <w:right w:val="nil"/>
          <w:between w:val="nil"/>
        </w:pBdr>
        <w:spacing w:line="360" w:lineRule="auto"/>
        <w:ind w:left="426"/>
        <w:jc w:val="both"/>
        <w:rPr>
          <w:rFonts w:ascii="Arial" w:eastAsia="Arial" w:hAnsi="Arial" w:cs="Arial"/>
          <w:color w:val="000000"/>
          <w:sz w:val="18"/>
          <w:szCs w:val="18"/>
        </w:rPr>
      </w:pPr>
      <w:r>
        <w:rPr>
          <w:rFonts w:ascii="Arial" w:eastAsia="Arial" w:hAnsi="Arial" w:cs="Arial"/>
          <w:color w:val="000000"/>
          <w:sz w:val="18"/>
          <w:szCs w:val="18"/>
        </w:rPr>
        <w:t>Esta asignatura contempla sesiones teóricas impartidas de manera audiovisual por los académicos responsables, complementadas con tareas teórico-prácticas que el estudiante debe desarrollar de manera individual o grupal. Una actividad de aprendizaje importante en este curso es la lectura de los textos guía antes del ingreso a la sala de clases. Para reforzar esta actividad, se proporcionará a los participantes una serie de artículos científicos relacionados con los temas que se revisan en clase. Los alumnos deberán leerlos y discutirlos críticamente en una sesión destinada para esta actividad. Se contempla que para el buen desarrollo de estas actividades, el estudiante deberá dedicar un total de 160 horas a esta asignatura, de las cuales 64 horas serán presenciales y las restantes (96 h) serán dedicadas a la lectura de textos y la resolución de tareas (créditos totales = 1</w:t>
      </w:r>
      <w:r w:rsidR="005619BE">
        <w:rPr>
          <w:rFonts w:ascii="Arial" w:eastAsia="Arial" w:hAnsi="Arial" w:cs="Arial"/>
          <w:color w:val="000000"/>
          <w:sz w:val="18"/>
          <w:szCs w:val="18"/>
        </w:rPr>
        <w:t>0</w:t>
      </w:r>
      <w:r>
        <w:rPr>
          <w:rFonts w:ascii="Arial" w:eastAsia="Arial" w:hAnsi="Arial" w:cs="Arial"/>
          <w:color w:val="000000"/>
          <w:sz w:val="18"/>
          <w:szCs w:val="18"/>
        </w:rPr>
        <w:t>).</w:t>
      </w:r>
    </w:p>
    <w:p w14:paraId="7CDA7C8F" w14:textId="77777777" w:rsidR="009860F9" w:rsidRDefault="009860F9">
      <w:pPr>
        <w:pBdr>
          <w:top w:val="nil"/>
          <w:left w:val="nil"/>
          <w:bottom w:val="nil"/>
          <w:right w:val="nil"/>
          <w:between w:val="nil"/>
        </w:pBdr>
        <w:spacing w:line="360" w:lineRule="auto"/>
        <w:jc w:val="both"/>
        <w:rPr>
          <w:rFonts w:ascii="Arial" w:eastAsia="Arial" w:hAnsi="Arial" w:cs="Arial"/>
          <w:b/>
          <w:color w:val="000000"/>
          <w:sz w:val="18"/>
          <w:szCs w:val="18"/>
        </w:rPr>
      </w:pPr>
    </w:p>
    <w:p w14:paraId="64E965C5" w14:textId="77777777" w:rsidR="009860F9" w:rsidRDefault="0065092B">
      <w:pPr>
        <w:pBdr>
          <w:top w:val="nil"/>
          <w:left w:val="nil"/>
          <w:bottom w:val="nil"/>
          <w:right w:val="nil"/>
          <w:between w:val="nil"/>
        </w:pBdr>
        <w:spacing w:line="360" w:lineRule="auto"/>
        <w:jc w:val="both"/>
        <w:rPr>
          <w:rFonts w:ascii="Arial" w:eastAsia="Arial" w:hAnsi="Arial" w:cs="Arial"/>
          <w:b/>
          <w:color w:val="000000"/>
          <w:sz w:val="18"/>
          <w:szCs w:val="18"/>
        </w:rPr>
      </w:pPr>
      <w:r>
        <w:rPr>
          <w:rFonts w:ascii="Arial" w:eastAsia="Arial" w:hAnsi="Arial" w:cs="Arial"/>
          <w:b/>
          <w:color w:val="000000"/>
          <w:sz w:val="18"/>
          <w:szCs w:val="18"/>
        </w:rPr>
        <w:t xml:space="preserve">CRITERIOS Y PROCEDIMIENTOS DE EVALUACIÓN Y ACREDITACIÓN </w:t>
      </w:r>
    </w:p>
    <w:p w14:paraId="68F21F17" w14:textId="77777777" w:rsidR="009860F9" w:rsidRDefault="0065092B">
      <w:pPr>
        <w:pBdr>
          <w:top w:val="nil"/>
          <w:left w:val="nil"/>
          <w:bottom w:val="nil"/>
          <w:right w:val="nil"/>
          <w:between w:val="nil"/>
        </w:pBdr>
        <w:spacing w:line="360" w:lineRule="auto"/>
        <w:ind w:left="426"/>
        <w:jc w:val="both"/>
        <w:rPr>
          <w:rFonts w:ascii="Arial" w:eastAsia="Arial" w:hAnsi="Arial" w:cs="Arial"/>
          <w:color w:val="000000"/>
          <w:sz w:val="18"/>
          <w:szCs w:val="18"/>
        </w:rPr>
      </w:pPr>
      <w:r>
        <w:rPr>
          <w:rFonts w:ascii="Arial" w:eastAsia="Arial" w:hAnsi="Arial" w:cs="Arial"/>
          <w:color w:val="000000"/>
          <w:sz w:val="18"/>
          <w:szCs w:val="18"/>
        </w:rPr>
        <w:t>La evaluación de esta asignatura considera cinco evaluaciones parciales, una después de cada unidad. Estas evaluaciones tendrán un valor ponderado de 60% sobre la calificación final. Las tareas prácticas, por otra parte, constituirán 35% de la calificación final. El resto (5%) de la calificación final será atribuido a la participación en clases. Todas estas actividades serán calificadas en escala de 1.0 a 10.0.  Al final del curso, el estudiante deberá obtener una calificación final mínima de 7.0 para aprobar y acreditar la materia.</w:t>
      </w:r>
    </w:p>
    <w:p w14:paraId="2B9F9E1B" w14:textId="77777777" w:rsidR="009860F9" w:rsidRDefault="009860F9">
      <w:pPr>
        <w:spacing w:line="360" w:lineRule="auto"/>
        <w:jc w:val="both"/>
        <w:rPr>
          <w:rFonts w:ascii="Arial" w:eastAsia="Arial" w:hAnsi="Arial" w:cs="Arial"/>
          <w:b/>
          <w:smallCaps/>
          <w:sz w:val="18"/>
          <w:szCs w:val="18"/>
        </w:rPr>
      </w:pPr>
    </w:p>
    <w:p w14:paraId="2581491A" w14:textId="77777777" w:rsidR="009860F9" w:rsidRDefault="0065092B">
      <w:pPr>
        <w:spacing w:line="360" w:lineRule="auto"/>
        <w:jc w:val="both"/>
        <w:rPr>
          <w:rFonts w:ascii="Arial" w:eastAsia="Arial" w:hAnsi="Arial" w:cs="Arial"/>
          <w:b/>
          <w:sz w:val="18"/>
          <w:szCs w:val="18"/>
        </w:rPr>
      </w:pPr>
      <w:r>
        <w:rPr>
          <w:rFonts w:ascii="Arial" w:eastAsia="Arial" w:hAnsi="Arial" w:cs="Arial"/>
          <w:b/>
          <w:smallCaps/>
          <w:sz w:val="18"/>
          <w:szCs w:val="18"/>
        </w:rPr>
        <w:t>LIBROS GUÍA</w:t>
      </w:r>
      <w:r>
        <w:rPr>
          <w:rFonts w:ascii="Arial" w:eastAsia="Arial" w:hAnsi="Arial" w:cs="Arial"/>
          <w:b/>
          <w:sz w:val="18"/>
          <w:szCs w:val="18"/>
        </w:rPr>
        <w:t xml:space="preserve">: </w:t>
      </w:r>
    </w:p>
    <w:p w14:paraId="6BDE355F" w14:textId="77777777" w:rsidR="009860F9" w:rsidRPr="0065092B" w:rsidRDefault="0065092B">
      <w:pPr>
        <w:pBdr>
          <w:top w:val="nil"/>
          <w:left w:val="nil"/>
          <w:bottom w:val="nil"/>
          <w:right w:val="nil"/>
          <w:between w:val="nil"/>
        </w:pBdr>
        <w:spacing w:after="120" w:line="360" w:lineRule="auto"/>
        <w:jc w:val="both"/>
        <w:rPr>
          <w:rFonts w:ascii="Arial" w:eastAsia="Arial" w:hAnsi="Arial" w:cs="Arial"/>
          <w:color w:val="000000"/>
          <w:sz w:val="18"/>
          <w:szCs w:val="18"/>
          <w:lang w:val="en-US"/>
        </w:rPr>
      </w:pPr>
      <w:r>
        <w:rPr>
          <w:rFonts w:ascii="Arial" w:eastAsia="Arial" w:hAnsi="Arial" w:cs="Arial"/>
          <w:color w:val="000000"/>
          <w:sz w:val="18"/>
          <w:szCs w:val="18"/>
        </w:rPr>
        <w:t xml:space="preserve">Rittmann B.E., McCarty P.L. (2020). </w:t>
      </w:r>
      <w:r w:rsidRPr="0065092B">
        <w:rPr>
          <w:rFonts w:ascii="Arial" w:eastAsia="Arial" w:hAnsi="Arial" w:cs="Arial"/>
          <w:color w:val="000000"/>
          <w:sz w:val="18"/>
          <w:szCs w:val="18"/>
          <w:lang w:val="en-US"/>
        </w:rPr>
        <w:t>Environmental Biotechnology: Principles and Applications. McGraw-Hill, USA.</w:t>
      </w:r>
    </w:p>
    <w:p w14:paraId="46B26FED" w14:textId="77777777" w:rsidR="009860F9" w:rsidRPr="0065092B" w:rsidRDefault="0065092B">
      <w:pPr>
        <w:pBdr>
          <w:top w:val="nil"/>
          <w:left w:val="nil"/>
          <w:bottom w:val="nil"/>
          <w:right w:val="nil"/>
          <w:between w:val="nil"/>
        </w:pBdr>
        <w:spacing w:after="120" w:line="360" w:lineRule="auto"/>
        <w:jc w:val="both"/>
        <w:rPr>
          <w:rFonts w:ascii="Arial" w:eastAsia="Arial" w:hAnsi="Arial" w:cs="Arial"/>
          <w:color w:val="000000"/>
          <w:sz w:val="18"/>
          <w:szCs w:val="18"/>
          <w:lang w:val="en-US"/>
        </w:rPr>
      </w:pPr>
      <w:r w:rsidRPr="0065092B">
        <w:rPr>
          <w:rFonts w:ascii="Arial" w:eastAsia="Arial" w:hAnsi="Arial" w:cs="Arial"/>
          <w:color w:val="000000"/>
          <w:sz w:val="18"/>
          <w:szCs w:val="18"/>
          <w:lang w:val="en-US"/>
        </w:rPr>
        <w:t>Tchobanoglous G., Burton F.L., Stensel H.D. (2004). Wastewater engineering: treatment and reuse. 4th Edition. McGraw-Hill, USA.</w:t>
      </w:r>
    </w:p>
    <w:p w14:paraId="467CBF06" w14:textId="77777777" w:rsidR="009860F9" w:rsidRPr="0065092B" w:rsidRDefault="0065092B">
      <w:pPr>
        <w:pBdr>
          <w:top w:val="nil"/>
          <w:left w:val="nil"/>
          <w:bottom w:val="nil"/>
          <w:right w:val="nil"/>
          <w:between w:val="nil"/>
        </w:pBdr>
        <w:spacing w:after="120" w:line="360" w:lineRule="auto"/>
        <w:jc w:val="both"/>
        <w:rPr>
          <w:rFonts w:ascii="Arial" w:eastAsia="Arial" w:hAnsi="Arial" w:cs="Arial"/>
          <w:color w:val="000000"/>
          <w:sz w:val="18"/>
          <w:szCs w:val="18"/>
          <w:lang w:val="en-US"/>
        </w:rPr>
      </w:pPr>
      <w:r w:rsidRPr="0065092B">
        <w:rPr>
          <w:rFonts w:ascii="Arial" w:eastAsia="Arial" w:hAnsi="Arial" w:cs="Arial"/>
          <w:color w:val="000000"/>
          <w:sz w:val="18"/>
          <w:szCs w:val="18"/>
          <w:lang w:val="en-US"/>
        </w:rPr>
        <w:t>Kennes C, Veiga MC. (2001) Bioreactors for waste gas treatment. Kluwer, USA.</w:t>
      </w:r>
    </w:p>
    <w:p w14:paraId="3AB9208C" w14:textId="77777777" w:rsidR="009860F9" w:rsidRDefault="0065092B">
      <w:pPr>
        <w:pBdr>
          <w:top w:val="nil"/>
          <w:left w:val="nil"/>
          <w:bottom w:val="nil"/>
          <w:right w:val="nil"/>
          <w:between w:val="nil"/>
        </w:pBdr>
        <w:spacing w:after="120" w:line="360" w:lineRule="auto"/>
        <w:jc w:val="both"/>
        <w:rPr>
          <w:rFonts w:ascii="Arial" w:eastAsia="Arial" w:hAnsi="Arial" w:cs="Arial"/>
          <w:color w:val="000000"/>
          <w:sz w:val="18"/>
          <w:szCs w:val="18"/>
        </w:rPr>
      </w:pPr>
      <w:r w:rsidRPr="0065092B">
        <w:rPr>
          <w:rFonts w:ascii="Arial" w:eastAsia="Arial" w:hAnsi="Arial" w:cs="Arial"/>
          <w:color w:val="000000"/>
          <w:sz w:val="18"/>
          <w:szCs w:val="18"/>
          <w:lang w:val="en-US"/>
        </w:rPr>
        <w:t xml:space="preserve">Bitton G. (1994). Wastewater Microbiology. </w:t>
      </w:r>
      <w:r>
        <w:rPr>
          <w:rFonts w:ascii="Arial" w:eastAsia="Arial" w:hAnsi="Arial" w:cs="Arial"/>
          <w:color w:val="000000"/>
          <w:sz w:val="18"/>
          <w:szCs w:val="18"/>
        </w:rPr>
        <w:t>Wiley, USA.</w:t>
      </w:r>
    </w:p>
    <w:p w14:paraId="6B226CC1" w14:textId="77777777" w:rsidR="009860F9" w:rsidRPr="0065092B" w:rsidRDefault="0065092B">
      <w:pPr>
        <w:pBdr>
          <w:top w:val="nil"/>
          <w:left w:val="nil"/>
          <w:bottom w:val="nil"/>
          <w:right w:val="nil"/>
          <w:between w:val="nil"/>
        </w:pBdr>
        <w:spacing w:after="120" w:line="360" w:lineRule="auto"/>
        <w:jc w:val="both"/>
        <w:rPr>
          <w:rFonts w:ascii="Arial" w:eastAsia="Arial" w:hAnsi="Arial" w:cs="Arial"/>
          <w:color w:val="000000"/>
          <w:sz w:val="18"/>
          <w:szCs w:val="18"/>
          <w:lang w:val="en-US"/>
        </w:rPr>
      </w:pPr>
      <w:r>
        <w:rPr>
          <w:rFonts w:ascii="Arial" w:eastAsia="Arial" w:hAnsi="Arial" w:cs="Arial"/>
          <w:color w:val="000000"/>
          <w:sz w:val="18"/>
          <w:szCs w:val="18"/>
        </w:rPr>
        <w:t xml:space="preserve">Bailey J.E., Ollis D.F. (1986). </w:t>
      </w:r>
      <w:r w:rsidRPr="0065092B">
        <w:rPr>
          <w:rFonts w:ascii="Arial" w:eastAsia="Arial" w:hAnsi="Arial" w:cs="Arial"/>
          <w:color w:val="000000"/>
          <w:sz w:val="18"/>
          <w:szCs w:val="18"/>
          <w:lang w:val="en-US"/>
        </w:rPr>
        <w:t>Biochemical Engineering Fundamentals. McGraw-Hil, USA.</w:t>
      </w:r>
    </w:p>
    <w:p w14:paraId="22B31669" w14:textId="77777777" w:rsidR="009860F9" w:rsidRPr="0065092B" w:rsidRDefault="0065092B">
      <w:pPr>
        <w:pBdr>
          <w:top w:val="nil"/>
          <w:left w:val="nil"/>
          <w:bottom w:val="nil"/>
          <w:right w:val="nil"/>
          <w:between w:val="nil"/>
        </w:pBdr>
        <w:spacing w:after="120" w:line="360" w:lineRule="auto"/>
        <w:jc w:val="both"/>
        <w:rPr>
          <w:rFonts w:ascii="Arial" w:eastAsia="Arial" w:hAnsi="Arial" w:cs="Arial"/>
          <w:color w:val="000000"/>
          <w:sz w:val="18"/>
          <w:szCs w:val="18"/>
          <w:lang w:val="en-US"/>
        </w:rPr>
      </w:pPr>
      <w:r w:rsidRPr="0065092B">
        <w:rPr>
          <w:rFonts w:ascii="Arial" w:eastAsia="Arial" w:hAnsi="Arial" w:cs="Arial"/>
          <w:color w:val="000000"/>
          <w:sz w:val="18"/>
          <w:szCs w:val="18"/>
          <w:lang w:val="en-US"/>
        </w:rPr>
        <w:t>Eckenfelder W. (2000) Industrial Water Pollution Control. 3rd Edition, McGraw-Hill, USA.</w:t>
      </w:r>
    </w:p>
    <w:p w14:paraId="4B6F7C02" w14:textId="77777777" w:rsidR="009860F9" w:rsidRPr="0065092B" w:rsidRDefault="0065092B">
      <w:pPr>
        <w:pBdr>
          <w:top w:val="nil"/>
          <w:left w:val="nil"/>
          <w:bottom w:val="nil"/>
          <w:right w:val="nil"/>
          <w:between w:val="nil"/>
        </w:pBdr>
        <w:spacing w:after="120" w:line="360" w:lineRule="auto"/>
        <w:jc w:val="both"/>
        <w:rPr>
          <w:rFonts w:ascii="Arial" w:eastAsia="Arial" w:hAnsi="Arial" w:cs="Arial"/>
          <w:color w:val="000000"/>
          <w:sz w:val="18"/>
          <w:szCs w:val="18"/>
          <w:lang w:val="en-US"/>
        </w:rPr>
      </w:pPr>
      <w:r>
        <w:rPr>
          <w:rFonts w:ascii="Arial" w:eastAsia="Arial" w:hAnsi="Arial" w:cs="Arial"/>
          <w:color w:val="000000"/>
          <w:sz w:val="18"/>
          <w:szCs w:val="18"/>
        </w:rPr>
        <w:t xml:space="preserve">Cervantes F., Pavlostathis S., van Haandel A. (2006). </w:t>
      </w:r>
      <w:r w:rsidRPr="0065092B">
        <w:rPr>
          <w:rFonts w:ascii="Arial" w:eastAsia="Arial" w:hAnsi="Arial" w:cs="Arial"/>
          <w:color w:val="000000"/>
          <w:sz w:val="18"/>
          <w:szCs w:val="18"/>
          <w:lang w:val="en-US"/>
        </w:rPr>
        <w:t>Advanced Biological Treatment Processes for Industrial Wastewaters: Principles and Application. International Water Association.</w:t>
      </w:r>
    </w:p>
    <w:p w14:paraId="0EF5259B" w14:textId="77777777" w:rsidR="009860F9" w:rsidRDefault="0065092B">
      <w:pPr>
        <w:pBdr>
          <w:top w:val="nil"/>
          <w:left w:val="nil"/>
          <w:bottom w:val="nil"/>
          <w:right w:val="nil"/>
          <w:between w:val="nil"/>
        </w:pBdr>
        <w:spacing w:after="120" w:line="360" w:lineRule="auto"/>
        <w:jc w:val="both"/>
        <w:rPr>
          <w:rFonts w:ascii="Arial" w:eastAsia="Arial" w:hAnsi="Arial" w:cs="Arial"/>
          <w:color w:val="000000"/>
          <w:sz w:val="18"/>
          <w:szCs w:val="18"/>
        </w:rPr>
      </w:pPr>
      <w:r w:rsidRPr="0065092B">
        <w:rPr>
          <w:rFonts w:ascii="Arial" w:eastAsia="Arial" w:hAnsi="Arial" w:cs="Arial"/>
          <w:color w:val="000000"/>
          <w:sz w:val="18"/>
          <w:szCs w:val="18"/>
          <w:lang w:val="en-US"/>
        </w:rPr>
        <w:t xml:space="preserve">Madigan M.T., Martinko J.M. (2006). Brock Biology of Microorganisms. </w:t>
      </w:r>
      <w:r>
        <w:rPr>
          <w:rFonts w:ascii="Arial" w:eastAsia="Arial" w:hAnsi="Arial" w:cs="Arial"/>
          <w:color w:val="000000"/>
          <w:sz w:val="18"/>
          <w:szCs w:val="18"/>
        </w:rPr>
        <w:t>11th Edition. Pearson Prentince Hall, USA.</w:t>
      </w:r>
    </w:p>
    <w:p w14:paraId="6DB06CB8" w14:textId="77777777" w:rsidR="009860F9" w:rsidRDefault="009860F9">
      <w:pPr>
        <w:jc w:val="both"/>
        <w:rPr>
          <w:rFonts w:ascii="Arial" w:eastAsia="Arial" w:hAnsi="Arial" w:cs="Arial"/>
          <w:sz w:val="18"/>
          <w:szCs w:val="18"/>
        </w:rPr>
      </w:pPr>
    </w:p>
    <w:p w14:paraId="2447BEA4" w14:textId="77777777" w:rsidR="009860F9" w:rsidRDefault="009860F9">
      <w:pPr>
        <w:pBdr>
          <w:top w:val="nil"/>
          <w:left w:val="nil"/>
          <w:bottom w:val="nil"/>
          <w:right w:val="nil"/>
          <w:between w:val="nil"/>
        </w:pBdr>
        <w:ind w:left="-71"/>
        <w:jc w:val="both"/>
        <w:rPr>
          <w:rFonts w:ascii="Arial" w:eastAsia="Arial" w:hAnsi="Arial" w:cs="Arial"/>
          <w:color w:val="000000"/>
          <w:sz w:val="18"/>
          <w:szCs w:val="18"/>
        </w:rPr>
      </w:pPr>
      <w:bookmarkStart w:id="0" w:name="_heading=h.gjdgxs" w:colFirst="0" w:colLast="0"/>
      <w:bookmarkEnd w:id="0"/>
    </w:p>
    <w:sectPr w:rsidR="009860F9">
      <w:pgSz w:w="12240" w:h="15840"/>
      <w:pgMar w:top="1151" w:right="1701" w:bottom="129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0F9"/>
    <w:rsid w:val="005619BE"/>
    <w:rsid w:val="0065092B"/>
    <w:rsid w:val="009860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9633E"/>
  <w15:docId w15:val="{055A9FEE-5112-4F61-9A0F-0E833A62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pBdr>
        <w:bottom w:val="single" w:sz="12" w:space="1" w:color="000000"/>
        <w:between w:val="single" w:sz="12" w:space="1" w:color="000000"/>
      </w:pBdr>
      <w:jc w:val="both"/>
      <w:outlineLvl w:val="0"/>
    </w:pPr>
    <w:rPr>
      <w:rFonts w:ascii="Arial" w:eastAsia="Arial" w:hAnsi="Arial" w:cs="Arial"/>
      <w:b/>
      <w:sz w:val="18"/>
      <w:szCs w:val="18"/>
    </w:rPr>
  </w:style>
  <w:style w:type="paragraph" w:styleId="Ttulo2">
    <w:name w:val="heading 2"/>
    <w:basedOn w:val="Normal"/>
    <w:next w:val="Normal"/>
    <w:uiPriority w:val="9"/>
    <w:semiHidden/>
    <w:unhideWhenUsed/>
    <w:qFormat/>
    <w:pPr>
      <w:pBdr>
        <w:top w:val="single" w:sz="6" w:space="1" w:color="000000"/>
        <w:between w:val="single" w:sz="6" w:space="1" w:color="000000"/>
      </w:pBdr>
      <w:spacing w:after="101"/>
      <w:jc w:val="both"/>
      <w:outlineLvl w:val="1"/>
    </w:pPr>
    <w:rPr>
      <w:rFonts w:ascii="Arial" w:eastAsia="Arial" w:hAnsi="Arial" w:cs="Arial"/>
      <w:sz w:val="18"/>
      <w:szCs w:val="18"/>
    </w:rPr>
  </w:style>
  <w:style w:type="paragraph" w:styleId="Ttulo3">
    <w:name w:val="heading 3"/>
    <w:basedOn w:val="Normal"/>
    <w:next w:val="Normal"/>
    <w:uiPriority w:val="9"/>
    <w:semiHidden/>
    <w:unhideWhenUsed/>
    <w:qFormat/>
    <w:pPr>
      <w:spacing w:after="101"/>
      <w:ind w:firstLine="288"/>
      <w:jc w:val="both"/>
      <w:outlineLvl w:val="2"/>
    </w:pPr>
    <w:rPr>
      <w:rFonts w:ascii="Arial" w:eastAsia="Arial" w:hAnsi="Arial" w:cs="Arial"/>
      <w:sz w:val="18"/>
      <w:szCs w:val="18"/>
    </w:rPr>
  </w:style>
  <w:style w:type="paragraph" w:styleId="Ttulo4">
    <w:name w:val="heading 4"/>
    <w:basedOn w:val="Normal"/>
    <w:next w:val="Normal"/>
    <w:uiPriority w:val="9"/>
    <w:semiHidden/>
    <w:unhideWhenUsed/>
    <w:qFormat/>
    <w:pPr>
      <w:keepNext/>
      <w:jc w:val="center"/>
      <w:outlineLvl w:val="3"/>
    </w:pPr>
    <w:rPr>
      <w:rFonts w:ascii="Times New Roman" w:eastAsia="Times New Roman" w:hAnsi="Times New Roman" w:cs="Times New Roman"/>
      <w:b/>
    </w:rPr>
  </w:style>
  <w:style w:type="paragraph" w:styleId="Ttulo5">
    <w:name w:val="heading 5"/>
    <w:basedOn w:val="Normal"/>
    <w:next w:val="Normal"/>
    <w:uiPriority w:val="9"/>
    <w:semiHidden/>
    <w:unhideWhenUsed/>
    <w:qFormat/>
    <w:pPr>
      <w:keepNext/>
      <w:jc w:val="both"/>
      <w:outlineLvl w:val="4"/>
    </w:pPr>
    <w:rPr>
      <w:rFonts w:ascii="Tahoma" w:eastAsia="Tahoma" w:hAnsi="Tahoma" w:cs="Tahoma"/>
    </w:rPr>
  </w:style>
  <w:style w:type="paragraph" w:styleId="Ttulo6">
    <w:name w:val="heading 6"/>
    <w:basedOn w:val="Normal"/>
    <w:next w:val="Normal"/>
    <w:uiPriority w:val="9"/>
    <w:semiHidden/>
    <w:unhideWhenUsed/>
    <w:qFormat/>
    <w:pPr>
      <w:keepNext/>
      <w:jc w:val="both"/>
      <w:outlineLvl w:val="5"/>
    </w:pPr>
    <w:rPr>
      <w:b/>
      <w:color w:val="000000"/>
      <w:sz w:val="28"/>
      <w:szCs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1" w:type="dxa"/>
        <w:right w:w="71" w:type="dxa"/>
      </w:tblCellMar>
    </w:tblPr>
  </w:style>
  <w:style w:type="table" w:customStyle="1" w:styleId="a0">
    <w:basedOn w:val="TableNormal0"/>
    <w:tblPr>
      <w:tblStyleRowBandSize w:val="1"/>
      <w:tblStyleColBandSize w:val="1"/>
      <w:tblCellMar>
        <w:left w:w="71" w:type="dxa"/>
        <w:right w:w="71" w:type="dxa"/>
      </w:tblCellMar>
    </w:tblPr>
  </w:style>
  <w:style w:type="paragraph" w:styleId="Prrafodelista">
    <w:name w:val="List Paragraph"/>
    <w:basedOn w:val="Normal"/>
    <w:uiPriority w:val="34"/>
    <w:qFormat/>
    <w:rsid w:val="008A16FE"/>
    <w:pPr>
      <w:ind w:left="720"/>
      <w:contextualSpacing/>
    </w:pPr>
  </w:style>
  <w:style w:type="table" w:customStyle="1" w:styleId="a1">
    <w:basedOn w:val="TableNormal0"/>
    <w:tblPr>
      <w:tblStyleRowBandSize w:val="1"/>
      <w:tblStyleColBandSize w:val="1"/>
      <w:tblCellMar>
        <w:left w:w="71" w:type="dxa"/>
        <w:right w:w="71" w:type="dxa"/>
      </w:tblCellMar>
    </w:tblPr>
  </w:style>
  <w:style w:type="table" w:customStyle="1" w:styleId="a2">
    <w:basedOn w:val="TableNormal0"/>
    <w:tblPr>
      <w:tblStyleRowBandSize w:val="1"/>
      <w:tblStyleColBandSize w:val="1"/>
      <w:tblCellMar>
        <w:left w:w="71" w:type="dxa"/>
        <w:right w:w="71"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CURSTJlyo6zJPeZHFMvvH0Ke8g==">AMUW2mVMzsnPBPmlEaS+3K9NDDsHe9mUCUbHVVGGmk3KrHsA8IhIme4BCF+itqNyZd7jcO/kkibeDIl8e4ZSk2ZwMiptJWl5yUd734jbkVcs8YPdC6mI4X6txiibhPYnT2E+htuvhm04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4328</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Chapa Vargas</cp:lastModifiedBy>
  <cp:revision>3</cp:revision>
  <dcterms:created xsi:type="dcterms:W3CDTF">2021-03-21T17:35:00Z</dcterms:created>
  <dcterms:modified xsi:type="dcterms:W3CDTF">2021-05-28T16:19:00Z</dcterms:modified>
</cp:coreProperties>
</file>